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34" w:rsidRPr="00F36934" w:rsidRDefault="00F36934" w:rsidP="00F36934">
      <w:pPr>
        <w:jc w:val="center"/>
        <w:rPr>
          <w:rFonts w:ascii="Arial" w:hAnsi="Arial"/>
          <w:b/>
          <w:sz w:val="28"/>
        </w:rPr>
      </w:pPr>
      <w:r w:rsidRPr="00F36934">
        <w:rPr>
          <w:rFonts w:ascii="Arial" w:hAnsi="Arial"/>
          <w:b/>
          <w:sz w:val="28"/>
        </w:rPr>
        <w:t>Epworth Sleepiness Scale</w:t>
      </w:r>
    </w:p>
    <w:p w:rsidR="00F36934" w:rsidRPr="00F36934" w:rsidRDefault="00F36934">
      <w:pPr>
        <w:rPr>
          <w:rFonts w:ascii="Arial" w:hAnsi="Arial"/>
          <w:sz w:val="28"/>
        </w:rPr>
      </w:pPr>
      <w:r w:rsidRPr="00F36934">
        <w:rPr>
          <w:rFonts w:ascii="Arial" w:hAnsi="Arial"/>
          <w:sz w:val="28"/>
        </w:rPr>
        <w:t>The Epworth Sleepiness Scale is used to determine the level of daytime sleepiness. Use the following scale to choose the most appropriate number for each situation:</w:t>
      </w:r>
    </w:p>
    <w:tbl>
      <w:tblPr>
        <w:tblW w:w="94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78"/>
        <w:gridCol w:w="1372"/>
        <w:gridCol w:w="1373"/>
        <w:gridCol w:w="1372"/>
        <w:gridCol w:w="1373"/>
      </w:tblGrid>
      <w:tr w:rsidR="00270261" w:rsidRPr="00036319" w:rsidTr="00F36934">
        <w:trPr>
          <w:trHeight w:val="263"/>
        </w:trPr>
        <w:tc>
          <w:tcPr>
            <w:tcW w:w="3978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70261" w:rsidRPr="00036319" w:rsidRDefault="00270261" w:rsidP="002702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36319">
              <w:rPr>
                <w:rFonts w:ascii="Arial" w:eastAsia="Calibri" w:hAnsi="Arial" w:cs="Arial"/>
                <w:color w:val="000000"/>
                <w:sz w:val="24"/>
                <w:szCs w:val="24"/>
              </w:rPr>
              <w:t>SITUATION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036319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6319">
              <w:rPr>
                <w:rFonts w:ascii="Arial" w:eastAsia="Calibri" w:hAnsi="Arial" w:cs="Arial"/>
                <w:color w:val="000000"/>
                <w:sz w:val="24"/>
                <w:szCs w:val="24"/>
              </w:rPr>
              <w:t>CHANCE OF DOZING</w:t>
            </w:r>
          </w:p>
        </w:tc>
      </w:tr>
      <w:tr w:rsidR="00270261" w:rsidRPr="00036319" w:rsidTr="00F36934">
        <w:trPr>
          <w:trHeight w:val="263"/>
        </w:trPr>
        <w:tc>
          <w:tcPr>
            <w:tcW w:w="397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036319" w:rsidRDefault="00270261" w:rsidP="002702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036319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6319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  <w:p w:rsidR="00270261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36319">
              <w:rPr>
                <w:rFonts w:ascii="Arial" w:hAnsi="Arial" w:cs="Arial"/>
                <w:color w:val="000000"/>
                <w:sz w:val="24"/>
                <w:szCs w:val="24"/>
              </w:rPr>
              <w:t>Chance</w:t>
            </w:r>
          </w:p>
          <w:p w:rsidR="00270261" w:rsidRPr="00036319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(0)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036319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6319">
              <w:rPr>
                <w:rFonts w:ascii="Arial" w:hAnsi="Arial" w:cs="Arial"/>
                <w:color w:val="000000"/>
                <w:sz w:val="24"/>
                <w:szCs w:val="24"/>
              </w:rPr>
              <w:t>Slight</w:t>
            </w:r>
          </w:p>
          <w:p w:rsidR="00270261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36319">
              <w:rPr>
                <w:rFonts w:ascii="Arial" w:hAnsi="Arial" w:cs="Arial"/>
                <w:color w:val="000000"/>
                <w:sz w:val="24"/>
                <w:szCs w:val="24"/>
              </w:rPr>
              <w:t>Chance</w:t>
            </w:r>
          </w:p>
          <w:p w:rsidR="00270261" w:rsidRPr="00036319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(1)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036319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6319">
              <w:rPr>
                <w:rFonts w:ascii="Arial" w:hAnsi="Arial" w:cs="Arial"/>
                <w:color w:val="000000"/>
                <w:sz w:val="24"/>
                <w:szCs w:val="24"/>
              </w:rPr>
              <w:t>Moderate</w:t>
            </w:r>
          </w:p>
          <w:p w:rsidR="00270261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36319">
              <w:rPr>
                <w:rFonts w:ascii="Arial" w:hAnsi="Arial" w:cs="Arial"/>
                <w:color w:val="000000"/>
                <w:sz w:val="24"/>
                <w:szCs w:val="24"/>
              </w:rPr>
              <w:t>Chance</w:t>
            </w:r>
          </w:p>
          <w:p w:rsidR="00270261" w:rsidRPr="00036319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(2)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036319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6319">
              <w:rPr>
                <w:rFonts w:ascii="Arial" w:hAnsi="Arial" w:cs="Arial"/>
                <w:color w:val="000000"/>
                <w:sz w:val="24"/>
                <w:szCs w:val="24"/>
              </w:rPr>
              <w:t>High</w:t>
            </w:r>
          </w:p>
          <w:p w:rsidR="00270261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36319">
              <w:rPr>
                <w:rFonts w:ascii="Arial" w:hAnsi="Arial" w:cs="Arial"/>
                <w:color w:val="000000"/>
                <w:sz w:val="24"/>
                <w:szCs w:val="24"/>
              </w:rPr>
              <w:t>Chance</w:t>
            </w:r>
          </w:p>
          <w:p w:rsidR="00270261" w:rsidRPr="00036319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(3)</w:t>
            </w:r>
          </w:p>
        </w:tc>
      </w:tr>
      <w:tr w:rsidR="00270261" w:rsidRPr="00036319" w:rsidTr="00F36934">
        <w:trPr>
          <w:trHeight w:hRule="exact" w:val="864"/>
        </w:trPr>
        <w:tc>
          <w:tcPr>
            <w:tcW w:w="3978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270261" w:rsidRPr="00F050B4" w:rsidRDefault="00270261" w:rsidP="00270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F050B4">
              <w:rPr>
                <w:rFonts w:ascii="Arial" w:eastAsia="Calibri" w:hAnsi="Arial" w:cs="Arial"/>
                <w:color w:val="000000"/>
              </w:rPr>
              <w:t>Sitting and reading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2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</w:tr>
      <w:tr w:rsidR="00270261" w:rsidRPr="00036319" w:rsidTr="00F36934">
        <w:trPr>
          <w:trHeight w:hRule="exact" w:val="864"/>
        </w:trPr>
        <w:tc>
          <w:tcPr>
            <w:tcW w:w="3978" w:type="dxa"/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F050B4" w:rsidRDefault="00270261" w:rsidP="00270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F050B4">
              <w:rPr>
                <w:rFonts w:ascii="Arial" w:eastAsia="Calibri" w:hAnsi="Arial" w:cs="Arial"/>
                <w:color w:val="000000"/>
              </w:rPr>
              <w:t>Watching TV</w:t>
            </w:r>
          </w:p>
        </w:tc>
        <w:tc>
          <w:tcPr>
            <w:tcW w:w="1372" w:type="dxa"/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2" w:type="dxa"/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</w:tr>
      <w:tr w:rsidR="00270261" w:rsidRPr="00036319" w:rsidTr="00F36934">
        <w:trPr>
          <w:trHeight w:hRule="exact" w:val="864"/>
        </w:trPr>
        <w:tc>
          <w:tcPr>
            <w:tcW w:w="3978" w:type="dxa"/>
            <w:tcMar>
              <w:left w:w="72" w:type="dxa"/>
              <w:right w:w="72" w:type="dxa"/>
            </w:tcMar>
            <w:vAlign w:val="center"/>
          </w:tcPr>
          <w:p w:rsidR="00270261" w:rsidRPr="00F050B4" w:rsidRDefault="00270261" w:rsidP="00270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F050B4">
              <w:rPr>
                <w:rFonts w:ascii="Arial" w:eastAsia="Calibri" w:hAnsi="Arial" w:cs="Arial"/>
                <w:color w:val="000000"/>
              </w:rPr>
              <w:t>Sitting inactive in a public place (e.g. a theater or a meeting)</w:t>
            </w:r>
          </w:p>
        </w:tc>
        <w:tc>
          <w:tcPr>
            <w:tcW w:w="1372" w:type="dxa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2" w:type="dxa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</w:tr>
      <w:tr w:rsidR="00270261" w:rsidRPr="00036319" w:rsidTr="00F36934">
        <w:trPr>
          <w:trHeight w:hRule="exact" w:val="864"/>
        </w:trPr>
        <w:tc>
          <w:tcPr>
            <w:tcW w:w="3978" w:type="dxa"/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F050B4" w:rsidRDefault="00270261" w:rsidP="00270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F050B4">
              <w:rPr>
                <w:rFonts w:ascii="Arial" w:eastAsia="Calibri" w:hAnsi="Arial" w:cs="Arial"/>
                <w:color w:val="000000"/>
              </w:rPr>
              <w:t>As a passenger in a car for an hour without a break</w:t>
            </w:r>
          </w:p>
        </w:tc>
        <w:tc>
          <w:tcPr>
            <w:tcW w:w="1372" w:type="dxa"/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2" w:type="dxa"/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</w:tr>
      <w:tr w:rsidR="00270261" w:rsidRPr="00036319" w:rsidTr="00F36934">
        <w:trPr>
          <w:trHeight w:hRule="exact" w:val="864"/>
        </w:trPr>
        <w:tc>
          <w:tcPr>
            <w:tcW w:w="3978" w:type="dxa"/>
            <w:tcMar>
              <w:left w:w="72" w:type="dxa"/>
              <w:right w:w="72" w:type="dxa"/>
            </w:tcMar>
            <w:vAlign w:val="center"/>
          </w:tcPr>
          <w:p w:rsidR="00270261" w:rsidRPr="00F050B4" w:rsidRDefault="00270261" w:rsidP="00270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F050B4">
              <w:rPr>
                <w:rFonts w:ascii="Arial" w:eastAsia="Calibri" w:hAnsi="Arial" w:cs="Arial"/>
                <w:color w:val="000000"/>
              </w:rPr>
              <w:t>Lying down to rest in the afternoon when circumstances permit</w:t>
            </w:r>
          </w:p>
        </w:tc>
        <w:tc>
          <w:tcPr>
            <w:tcW w:w="1372" w:type="dxa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2" w:type="dxa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</w:tr>
      <w:tr w:rsidR="00270261" w:rsidRPr="00036319" w:rsidTr="00F36934">
        <w:trPr>
          <w:trHeight w:hRule="exact" w:val="864"/>
        </w:trPr>
        <w:tc>
          <w:tcPr>
            <w:tcW w:w="3978" w:type="dxa"/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F050B4" w:rsidRDefault="00270261" w:rsidP="00270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F050B4">
              <w:rPr>
                <w:rFonts w:ascii="Arial" w:eastAsia="Calibri" w:hAnsi="Arial" w:cs="Arial"/>
                <w:color w:val="000000"/>
              </w:rPr>
              <w:t>Sitting and talking to someone</w:t>
            </w:r>
          </w:p>
        </w:tc>
        <w:tc>
          <w:tcPr>
            <w:tcW w:w="1372" w:type="dxa"/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2" w:type="dxa"/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</w:tr>
      <w:tr w:rsidR="00270261" w:rsidRPr="00036319" w:rsidTr="00F36934">
        <w:trPr>
          <w:trHeight w:hRule="exact" w:val="864"/>
        </w:trPr>
        <w:tc>
          <w:tcPr>
            <w:tcW w:w="3978" w:type="dxa"/>
            <w:tcMar>
              <w:left w:w="72" w:type="dxa"/>
              <w:right w:w="72" w:type="dxa"/>
            </w:tcMar>
            <w:vAlign w:val="center"/>
          </w:tcPr>
          <w:p w:rsidR="00270261" w:rsidRPr="00F050B4" w:rsidRDefault="00270261" w:rsidP="00270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F050B4">
              <w:rPr>
                <w:rFonts w:ascii="Arial" w:eastAsia="Calibri" w:hAnsi="Arial" w:cs="Arial"/>
                <w:color w:val="000000"/>
              </w:rPr>
              <w:t>Sitting quietly after a lunch without alcohol</w:t>
            </w:r>
          </w:p>
        </w:tc>
        <w:tc>
          <w:tcPr>
            <w:tcW w:w="1372" w:type="dxa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2" w:type="dxa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</w:tr>
      <w:tr w:rsidR="00270261" w:rsidRPr="00036319" w:rsidTr="00F36934">
        <w:trPr>
          <w:trHeight w:hRule="exact" w:val="864"/>
        </w:trPr>
        <w:tc>
          <w:tcPr>
            <w:tcW w:w="3978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F050B4" w:rsidRDefault="00270261" w:rsidP="00270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F050B4">
              <w:rPr>
                <w:rFonts w:ascii="Arial" w:eastAsia="Calibri" w:hAnsi="Arial" w:cs="Arial"/>
                <w:color w:val="000000"/>
              </w:rPr>
              <w:t>In a car, while stopped for a few minutes in traffic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72" w:type="dxa"/>
              <w:right w:w="72" w:type="dxa"/>
            </w:tcMar>
            <w:vAlign w:val="center"/>
          </w:tcPr>
          <w:p w:rsidR="00270261" w:rsidRPr="0093433B" w:rsidRDefault="00270261" w:rsidP="0027026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433B">
              <w:rPr>
                <w:rFonts w:ascii="Arial" w:hAnsi="Arial" w:cs="Arial"/>
                <w:color w:val="000000"/>
                <w:sz w:val="36"/>
                <w:szCs w:val="36"/>
              </w:rPr>
              <w:sym w:font="Webdings" w:char="F063"/>
            </w:r>
          </w:p>
        </w:tc>
      </w:tr>
    </w:tbl>
    <w:p w:rsidR="00F36934" w:rsidRDefault="00F36934"/>
    <w:p w:rsidR="00F36934" w:rsidRDefault="00F36934" w:rsidP="00F36934">
      <w:pPr>
        <w:tabs>
          <w:tab w:val="left" w:pos="0"/>
        </w:tabs>
        <w:ind w:left="-18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Total Score = ____________</w:t>
      </w:r>
    </w:p>
    <w:p w:rsidR="00270261" w:rsidRPr="00F36934" w:rsidRDefault="00F36934" w:rsidP="00F36934">
      <w:pPr>
        <w:tabs>
          <w:tab w:val="left" w:pos="0"/>
        </w:tabs>
        <w:ind w:left="-180"/>
        <w:rPr>
          <w:rFonts w:ascii="Arial" w:hAnsi="Arial"/>
          <w:sz w:val="28"/>
        </w:rPr>
      </w:pPr>
      <w:r w:rsidRPr="00F36934">
        <w:rPr>
          <w:rFonts w:ascii="Arial" w:hAnsi="Arial"/>
          <w:sz w:val="28"/>
        </w:rPr>
        <w:t xml:space="preserve">A score of 10 or more is considered sleepy. A score of 18 </w:t>
      </w:r>
      <w:r>
        <w:rPr>
          <w:rFonts w:ascii="Arial" w:hAnsi="Arial"/>
          <w:sz w:val="28"/>
        </w:rPr>
        <w:t>or more is very sle</w:t>
      </w:r>
      <w:r w:rsidRPr="00F36934">
        <w:rPr>
          <w:rFonts w:ascii="Arial" w:hAnsi="Arial"/>
          <w:sz w:val="28"/>
        </w:rPr>
        <w:t xml:space="preserve">epy. If you score 10 or more on this </w:t>
      </w:r>
      <w:r>
        <w:rPr>
          <w:rFonts w:ascii="Arial" w:hAnsi="Arial"/>
          <w:sz w:val="28"/>
        </w:rPr>
        <w:t>test, you should consider whethe</w:t>
      </w:r>
      <w:r w:rsidRPr="00F36934">
        <w:rPr>
          <w:rFonts w:ascii="Arial" w:hAnsi="Arial"/>
          <w:sz w:val="28"/>
        </w:rPr>
        <w:t>r you are obtaining adequate sleep, ne</w:t>
      </w:r>
      <w:r>
        <w:rPr>
          <w:rFonts w:ascii="Arial" w:hAnsi="Arial"/>
          <w:sz w:val="28"/>
        </w:rPr>
        <w:t>ed to improve your sleep hygiene</w:t>
      </w:r>
      <w:r w:rsidRPr="00F36934">
        <w:rPr>
          <w:rFonts w:ascii="Arial" w:hAnsi="Arial"/>
          <w:sz w:val="28"/>
        </w:rPr>
        <w:t xml:space="preserve"> and/or need to see a sleep specialist</w:t>
      </w:r>
      <w:r>
        <w:rPr>
          <w:rFonts w:ascii="Arial" w:hAnsi="Arial"/>
          <w:sz w:val="28"/>
        </w:rPr>
        <w:t>. These issues should be discuss</w:t>
      </w:r>
      <w:r w:rsidRPr="00F36934">
        <w:rPr>
          <w:rFonts w:ascii="Arial" w:hAnsi="Arial"/>
          <w:sz w:val="28"/>
        </w:rPr>
        <w:t>e</w:t>
      </w:r>
      <w:r>
        <w:rPr>
          <w:rFonts w:ascii="Arial" w:hAnsi="Arial"/>
          <w:sz w:val="28"/>
        </w:rPr>
        <w:t>d with your personal physician.</w:t>
      </w:r>
    </w:p>
    <w:sectPr w:rsidR="00270261" w:rsidRPr="00F36934" w:rsidSect="002702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71F0"/>
    <w:multiLevelType w:val="hybridMultilevel"/>
    <w:tmpl w:val="EABE2DC6"/>
    <w:lvl w:ilvl="0" w:tplc="18F4C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1"/>
    <w:rsid w:val="00270261"/>
    <w:rsid w:val="00532A13"/>
    <w:rsid w:val="00EE7A6B"/>
    <w:rsid w:val="00F369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0261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0261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851</Characters>
  <Application>Microsoft Macintosh Word</Application>
  <DocSecurity>0</DocSecurity>
  <Lines>71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 Miller</dc:creator>
  <cp:keywords/>
  <cp:lastModifiedBy>Nita Shattuck</cp:lastModifiedBy>
  <cp:revision>2</cp:revision>
  <cp:lastPrinted>2011-03-17T00:32:00Z</cp:lastPrinted>
  <dcterms:created xsi:type="dcterms:W3CDTF">2014-12-17T20:34:00Z</dcterms:created>
  <dcterms:modified xsi:type="dcterms:W3CDTF">2014-12-17T20:34:00Z</dcterms:modified>
</cp:coreProperties>
</file>